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numPr>
          <w:ilvl w:val="0"/>
          <w:numId w:val="1"/>
        </w:numPr>
        <w:spacing w:before="0" w:beforeAutospacing="1" w:after="0" w:afterAutospacing="1" w:line="420" w:lineRule="atLeast"/>
        <w:ind w:left="720" w:hanging="360"/>
        <w:jc w:val="center"/>
        <w:rPr>
          <w:rFonts w:hint="eastAsia" w:ascii="微软雅黑" w:hAnsi="微软雅黑" w:eastAsia="微软雅黑" w:cs="微软雅黑"/>
          <w:color w:val="000000"/>
          <w:sz w:val="32"/>
          <w:szCs w:val="32"/>
        </w:rPr>
      </w:pPr>
      <w:r>
        <w:rPr>
          <w:rFonts w:hint="eastAsia" w:ascii="微软雅黑" w:hAnsi="微软雅黑" w:eastAsia="微软雅黑" w:cs="微软雅黑"/>
          <w:color w:val="000000"/>
          <w:sz w:val="32"/>
          <w:szCs w:val="32"/>
          <w:u w:val="none"/>
        </w:rPr>
        <w:t>财政部　海关总署　国家税务总局</w:t>
      </w:r>
      <w:r>
        <w:rPr>
          <w:rFonts w:hint="eastAsia" w:ascii="微软雅黑" w:hAnsi="微软雅黑" w:eastAsia="微软雅黑" w:cs="微软雅黑"/>
          <w:color w:val="000000"/>
          <w:sz w:val="32"/>
          <w:szCs w:val="32"/>
        </w:rPr>
        <w:t xml:space="preserve">关于横琴 平潭开发有关增值税和消费税政策的通知 </w:t>
      </w:r>
    </w:p>
    <w:p>
      <w:pPr>
        <w:widowControl/>
        <w:numPr>
          <w:ilvl w:val="0"/>
          <w:numId w:val="1"/>
        </w:numPr>
        <w:spacing w:before="0" w:beforeAutospacing="1" w:after="0" w:afterAutospacing="1" w:line="450" w:lineRule="atLeast"/>
        <w:ind w:left="720" w:hanging="360"/>
        <w:jc w:val="center"/>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 xml:space="preserve">财税〔2014〕51号 </w:t>
      </w:r>
    </w:p>
    <w:p>
      <w:pPr>
        <w:widowControl/>
        <w:numPr>
          <w:ilvl w:val="0"/>
          <w:numId w:val="1"/>
        </w:numPr>
        <w:spacing w:before="0" w:beforeAutospacing="1" w:after="0" w:afterAutospacing="1" w:line="420" w:lineRule="atLeast"/>
        <w:ind w:left="2160" w:hanging="360"/>
        <w:rPr>
          <w:rFonts w:hint="eastAsia" w:ascii="微软雅黑" w:hAnsi="微软雅黑" w:eastAsia="微软雅黑" w:cs="微软雅黑"/>
          <w:sz w:val="24"/>
          <w:szCs w:val="24"/>
        </w:rPr>
      </w:pPr>
      <w:r>
        <w:rPr>
          <w:rFonts w:hint="eastAsia" w:ascii="微软雅黑" w:hAnsi="微软雅黑" w:eastAsia="微软雅黑" w:cs="微软雅黑"/>
          <w:sz w:val="24"/>
          <w:szCs w:val="24"/>
        </w:rPr>
        <w:t>全文有效   成文日期：2014-06-11</w:t>
      </w:r>
      <w:bookmarkStart w:id="0" w:name="_GoBack"/>
      <w:bookmarkEnd w:id="0"/>
    </w:p>
    <w:p>
      <w:pPr>
        <w:pStyle w:val="5"/>
        <w:widowControl/>
        <w:spacing w:line="420" w:lineRule="atLeas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 xml:space="preserve">广东、福建省财政厅、国家税务局，海关总署广东分署、拱北海关、福州海关：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为了贯彻落实《国务院关于横琴开发有关政策的批复》（国函〔2011〕85号）和《国务院关于平潭综合实验区总体发展规划的批复》（国函〔2011〕142号）精神，现就横琴、平潭开发有关增值税和消费税政策通知如下：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一、增值税和消费税退税政策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（一）内地销往横琴、平潭与生产有关的货物，视同出口，实行增值税和消费税退税政策。但下列货物不包括在内：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1.财政部和国家税务总局规定不适用增值税退（免）税和免税政策的出口货物。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2.横琴、平潭的商业性房地产开发项目采购的货物。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商业性房地产开发项目，是指兴建（包括改扩建）宾馆饭店、写字楼、别墅、公寓、住宅、商业购物场所、娱乐服务业场馆、餐饮业店馆以及其他商业性房地产项目。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3.内地销往横琴、平潭不予退税的其他货物。具体范围见附件。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4.按本通知第五条规定被取消退税或免税资格的企业购进的货物。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二）内地货物销往横琴、平潭，适用增值税和消费税退税政策的，必须办理出口报关手续（水、蒸汽、电力、燃气除外）。海关总署将货物经“二线”进入横琴、平潭的《进境货物备案清单》的电子信息提供给国家税务总局。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三）内地销往横琴、平潭的适用增值税和消费税退税政策的货物，销售企业在取得出口货物报关单（出口退税专用）后，应在中国电子口岸数据中心予以确认，并将取得的上述关单提供给横琴、平潭的购买企业，由横琴、平潭的购买企业向税务机关申报退税。申报退税时，应提供购进货物的出口货物报关单（出口退税专用）、进境货物备案清单、增值税专用发票、消费税专用缴款书（仅限于消费税应税货物）以及税务机关要求提供的其他资料。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税务机关应对企业申报退税的资料，与对应的电子信息进行核对无误后，按规定办理退税。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已申报退税的货物，其增值税专用发票上注明的增值税额，不得作为进项税额进行抵扣。已抵扣的进项税额，不得再申报退税。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（四）退税公式。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增值税应退税额＝购进货物的增值税专用发票注明的金额×购进货物适用的增值税退税率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从一般纳税人购进的按简易办法征税的货物和从小规模纳税人购进的货物，其适用的增值税退税率，按照购进货物适用的征收率和退税率孰低的原则确定。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消费税应退税额＝购进货物的消费税专用缴款书上注明的消费税额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二、横琴、平潭各自的区内企业之间销售其在本区内的货物，免征增值税和消费税。但上述企业之间销售的用于其本区内商业性房地产开发项目的货物，以及按本通知第五条规定被取消退税或免税资格的企业销售的货物，应按规定征收增值税和消费税。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三、横琴、平潭已享受免税、保税、退税政策的货物销往内地，除在“一线”已完税的生活消费类等货物外，按照有关规定征收进口税收。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四、横琴、平潭的在“一线”已完税的生活消费类等货物销往内地的，由税务机关按照现行规定征收增值税和消费税。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五、横琴、平潭的企业应单独核算按照本通知第一条或第二条规定退税或免税的货物。主管税务机关发现企业未按规定单独核算的，取消其享受本通知规定的退税和免税资格2年，并按规定予以处罚。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六、横琴、平潭的商业性房地产开发项目，由各自的区管委会行业主管部门会同当地财政、国税部门联合认定。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七、本通知有关增值税和消费税退税、免税的具体管理办法，由国家税务总局另行制定。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xml:space="preserve">　　八、本通知自相关监管设施验收合格、正式开关运行之日起执行。增值税和消费税退税政策的执行时间，以出口货物报关单（出口退税专用）上注明的出口日期为准。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附件：</w:t>
      </w:r>
      <w:r>
        <w:rPr>
          <w:rFonts w:hint="eastAsia" w:ascii="微软雅黑" w:hAnsi="微软雅黑" w:eastAsia="微软雅黑" w:cs="微软雅黑"/>
          <w:color w:val="0000FF"/>
          <w:sz w:val="24"/>
          <w:szCs w:val="24"/>
          <w:u w:val="none"/>
        </w:rPr>
        <w:fldChar w:fldCharType="begin"/>
      </w:r>
      <w:r>
        <w:rPr>
          <w:rFonts w:hint="eastAsia" w:ascii="微软雅黑" w:hAnsi="微软雅黑" w:eastAsia="微软雅黑" w:cs="微软雅黑"/>
          <w:color w:val="0000FF"/>
          <w:sz w:val="24"/>
          <w:szCs w:val="24"/>
          <w:u w:val="none"/>
        </w:rPr>
        <w:instrText xml:space="preserve"> HYPERLINK "http://www.chinatax.gov.cn/n810341/n810755/c1150461/../../../n810341/n810755/c1150461/part/1150462.docx" </w:instrText>
      </w:r>
      <w:r>
        <w:rPr>
          <w:rFonts w:hint="eastAsia" w:ascii="微软雅黑" w:hAnsi="微软雅黑" w:eastAsia="微软雅黑" w:cs="微软雅黑"/>
          <w:color w:val="0000FF"/>
          <w:sz w:val="24"/>
          <w:szCs w:val="24"/>
          <w:u w:val="none"/>
        </w:rPr>
        <w:fldChar w:fldCharType="separate"/>
      </w:r>
      <w:r>
        <w:rPr>
          <w:rStyle w:val="8"/>
          <w:rFonts w:hint="eastAsia" w:ascii="微软雅黑" w:hAnsi="微软雅黑" w:eastAsia="微软雅黑" w:cs="微软雅黑"/>
          <w:color w:val="0000FF"/>
          <w:sz w:val="24"/>
          <w:szCs w:val="24"/>
          <w:u w:val="none"/>
        </w:rPr>
        <w:t>内地销往横琴、平潭不予退税的货物清单</w:t>
      </w:r>
      <w:r>
        <w:rPr>
          <w:rFonts w:hint="eastAsia" w:ascii="微软雅黑" w:hAnsi="微软雅黑" w:eastAsia="微软雅黑" w:cs="微软雅黑"/>
          <w:color w:val="0000FF"/>
          <w:sz w:val="24"/>
          <w:szCs w:val="24"/>
          <w:u w:val="none"/>
        </w:rPr>
        <w:fldChar w:fldCharType="end"/>
      </w:r>
      <w:r>
        <w:rPr>
          <w:rFonts w:hint="eastAsia" w:ascii="微软雅黑" w:hAnsi="微软雅黑" w:eastAsia="微软雅黑" w:cs="微软雅黑"/>
          <w:color w:val="333333"/>
          <w:sz w:val="24"/>
          <w:szCs w:val="24"/>
        </w:rPr>
        <w:t xml:space="preserve">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w:t>
      </w:r>
    </w:p>
    <w:p>
      <w:pPr>
        <w:widowControl/>
        <w:numPr>
          <w:ilvl w:val="0"/>
          <w:numId w:val="1"/>
        </w:numPr>
        <w:spacing w:before="0" w:beforeAutospacing="1" w:after="0" w:afterAutospacing="1" w:line="420" w:lineRule="atLeast"/>
        <w:ind w:left="2160" w:hanging="360"/>
        <w:rPr>
          <w:rFonts w:hint="eastAsia" w:ascii="微软雅黑" w:hAnsi="微软雅黑" w:eastAsia="微软雅黑" w:cs="微软雅黑"/>
          <w:sz w:val="24"/>
          <w:szCs w:val="24"/>
        </w:rPr>
      </w:pPr>
    </w:p>
    <w:p>
      <w:pPr>
        <w:pStyle w:val="5"/>
        <w:widowControl/>
        <w:spacing w:line="420" w:lineRule="atLeast"/>
        <w:ind w:left="720"/>
        <w:jc w:val="righ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 xml:space="preserve">　　财政部　海关总署　国家税务总局  </w:t>
      </w:r>
      <w:r>
        <w:rPr>
          <w:rFonts w:hint="eastAsia" w:ascii="微软雅黑" w:hAnsi="微软雅黑" w:eastAsia="微软雅黑" w:cs="微软雅黑"/>
          <w:color w:val="333333"/>
          <w:sz w:val="24"/>
          <w:szCs w:val="24"/>
        </w:rPr>
        <w:br/>
      </w:r>
      <w:r>
        <w:rPr>
          <w:rFonts w:hint="eastAsia" w:ascii="微软雅黑" w:hAnsi="微软雅黑" w:eastAsia="微软雅黑" w:cs="微软雅黑"/>
          <w:color w:val="333333"/>
          <w:sz w:val="24"/>
          <w:szCs w:val="24"/>
        </w:rPr>
        <w:t>　　2014年6月11日</w:t>
      </w:r>
    </w:p>
    <w:tbl>
      <w:tblPr>
        <w:tblStyle w:val="9"/>
        <w:tblW w:w="91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0"/>
        <w:gridCol w:w="1240"/>
        <w:gridCol w:w="3180"/>
        <w:gridCol w:w="4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160" w:type="dxa"/>
            <w:gridSpan w:val="4"/>
            <w:tcBorders>
              <w:top w:val="nil"/>
              <w:left w:val="nil"/>
              <w:bottom w:val="nil"/>
              <w:right w:val="nil"/>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9160" w:type="dxa"/>
            <w:gridSpan w:val="4"/>
            <w:tcBorders>
              <w:top w:val="nil"/>
              <w:left w:val="nil"/>
              <w:bottom w:val="nil"/>
              <w:right w:val="nil"/>
            </w:tcBorders>
            <w:vAlign w:val="center"/>
          </w:tcPr>
          <w:p>
            <w:pPr>
              <w:widowControl/>
              <w:jc w:val="center"/>
              <w:rPr>
                <w:rFonts w:hint="eastAsia" w:ascii="微软雅黑" w:hAnsi="微软雅黑" w:eastAsia="微软雅黑" w:cs="微软雅黑"/>
                <w:b/>
                <w:bCs/>
                <w:color w:val="000000"/>
                <w:kern w:val="0"/>
                <w:sz w:val="24"/>
                <w:szCs w:val="24"/>
              </w:rPr>
            </w:pPr>
            <w:r>
              <w:rPr>
                <w:rFonts w:hint="eastAsia" w:ascii="微软雅黑" w:hAnsi="微软雅黑" w:eastAsia="微软雅黑" w:cs="微软雅黑"/>
                <w:b/>
                <w:bCs/>
                <w:color w:val="000000"/>
                <w:kern w:val="0"/>
                <w:sz w:val="24"/>
                <w:szCs w:val="24"/>
              </w:rPr>
              <w:t>内地销往横琴、平潭不予退税的货物清单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24"/>
                <w:szCs w:val="24"/>
              </w:rPr>
            </w:pPr>
            <w:r>
              <w:rPr>
                <w:rFonts w:hint="eastAsia" w:ascii="微软雅黑" w:hAnsi="微软雅黑" w:eastAsia="微软雅黑" w:cs="微软雅黑"/>
                <w:b/>
                <w:bCs/>
                <w:color w:val="000000"/>
                <w:kern w:val="0"/>
                <w:sz w:val="24"/>
                <w:szCs w:val="24"/>
              </w:rPr>
              <w:t>序号</w:t>
            </w:r>
          </w:p>
        </w:tc>
        <w:tc>
          <w:tcPr>
            <w:tcW w:w="1240"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24"/>
                <w:szCs w:val="24"/>
              </w:rPr>
            </w:pPr>
            <w:r>
              <w:rPr>
                <w:rFonts w:hint="eastAsia" w:ascii="微软雅黑" w:hAnsi="微软雅黑" w:eastAsia="微软雅黑" w:cs="微软雅黑"/>
                <w:b/>
                <w:bCs/>
                <w:color w:val="000000"/>
                <w:kern w:val="0"/>
                <w:sz w:val="24"/>
                <w:szCs w:val="24"/>
              </w:rPr>
              <w:t>所属海关税则章节</w:t>
            </w:r>
          </w:p>
        </w:tc>
        <w:tc>
          <w:tcPr>
            <w:tcW w:w="3180"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24"/>
                <w:szCs w:val="24"/>
              </w:rPr>
            </w:pPr>
            <w:r>
              <w:rPr>
                <w:rFonts w:hint="eastAsia" w:ascii="微软雅黑" w:hAnsi="微软雅黑" w:eastAsia="微软雅黑" w:cs="微软雅黑"/>
                <w:b/>
                <w:bCs/>
                <w:color w:val="000000"/>
                <w:kern w:val="0"/>
                <w:sz w:val="24"/>
                <w:szCs w:val="24"/>
              </w:rPr>
              <w:t>涉及海关税则号</w:t>
            </w:r>
          </w:p>
        </w:tc>
        <w:tc>
          <w:tcPr>
            <w:tcW w:w="4180"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24"/>
                <w:szCs w:val="24"/>
              </w:rPr>
            </w:pPr>
            <w:r>
              <w:rPr>
                <w:rFonts w:hint="eastAsia" w:ascii="微软雅黑" w:hAnsi="微软雅黑" w:eastAsia="微软雅黑" w:cs="微软雅黑"/>
                <w:b/>
                <w:bCs/>
                <w:color w:val="000000"/>
                <w:kern w:val="0"/>
                <w:sz w:val="24"/>
                <w:szCs w:val="24"/>
              </w:rPr>
              <w:t>货物名称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第9章</w:t>
            </w:r>
          </w:p>
        </w:tc>
        <w:tc>
          <w:tcPr>
            <w:tcW w:w="318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整章</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咖啡、茶及调味香料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第17章</w:t>
            </w:r>
          </w:p>
        </w:tc>
        <w:tc>
          <w:tcPr>
            <w:tcW w:w="318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整章</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糖及糖食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第18章</w:t>
            </w:r>
          </w:p>
        </w:tc>
        <w:tc>
          <w:tcPr>
            <w:tcW w:w="318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整章</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可可及可可制品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第19章</w:t>
            </w:r>
          </w:p>
        </w:tc>
        <w:tc>
          <w:tcPr>
            <w:tcW w:w="318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整章</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谷物、粮食粉、淀粉或乳制品；糕饼点心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第22章</w:t>
            </w:r>
          </w:p>
        </w:tc>
        <w:tc>
          <w:tcPr>
            <w:tcW w:w="318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整章</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饮料、酒及醋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6</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第24章</w:t>
            </w:r>
          </w:p>
        </w:tc>
        <w:tc>
          <w:tcPr>
            <w:tcW w:w="318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整章</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烟草及其制品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7</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第27章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2710</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成品油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8</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第33章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3301、3303－3307</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精油及香膏；芳香料制品及化妆品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9</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第34章</w:t>
            </w:r>
          </w:p>
        </w:tc>
        <w:tc>
          <w:tcPr>
            <w:tcW w:w="318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整章</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肥皂、洗涤剂、润滑剂、蜡烛等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10</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第36章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360410</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烟花，爆竹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11</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第42章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4202、4203</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公文包、高尔夫球包等；皮革手套等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12</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第43章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4303、4304</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毛皮制的衣服、衣着附件及其他物品；人造毛皮及其制品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13</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第44章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4409、4419</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实木地板、木制一次性筷子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14</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第60章</w:t>
            </w:r>
          </w:p>
        </w:tc>
        <w:tc>
          <w:tcPr>
            <w:tcW w:w="318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整章</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针织物及钩编织物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15</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第61章</w:t>
            </w:r>
          </w:p>
        </w:tc>
        <w:tc>
          <w:tcPr>
            <w:tcW w:w="318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整章</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针织或钩编的服装及衣着附件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16</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第62章</w:t>
            </w:r>
          </w:p>
        </w:tc>
        <w:tc>
          <w:tcPr>
            <w:tcW w:w="318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整章</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非针织或非钩编的服装及衣着附件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17</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第63章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6301－6304、6306－6309</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其他纺织制成品；成套物品等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18</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第64章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6401－6405</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鞋靴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19</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第65章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6504－6506</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20</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第66章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6601</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21</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第71章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7101－7111、7113－7118</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天然或养殖珍珠、宝石或半宝石、贵金属、包贵金属及其制品；仿首饰；硬币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22</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第84章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84031010、841510－841583、841810－841829、84183021、84183029、84184021、84184029、84212110、84213910、84219910、84221100、84231000、84248910、845011－845020、845110、845210、845290、847130、84714140、84714940、84715040、84716050－84716090、84717090</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家用型热水锅炉、空调器、冰箱、家用型净水器、家用型洗碟机、家用称、家用型洗衣机、干衣机、家用型缝纫机、便携式自动数据处理设备等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23</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第85章</w:t>
            </w:r>
          </w:p>
        </w:tc>
        <w:tc>
          <w:tcPr>
            <w:tcW w:w="31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850811、8509、8510、851310、851610、85162920－85162939、851631、851640－851679、85171100－85171220、851718、85176299、851769、851810-851850、8519、8521、8523、85258012、85258013、85258022－85258029、85258032－85258039、8527、852861、852869、85287110－85287300</w:t>
            </w:r>
          </w:p>
        </w:tc>
        <w:tc>
          <w:tcPr>
            <w:tcW w:w="41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真空吸尘器、榨汁机、电动剃须刀、手电筒、电热水器、空间加热器、电吹风机、电熨斗、无绳电话机、耳机、录音机、录像机、（VCD/DVD)播放机、光盘、摄像机、照相机、摄录一体机、收音机、投影机、电视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24</w:t>
            </w:r>
          </w:p>
        </w:tc>
        <w:tc>
          <w:tcPr>
            <w:tcW w:w="1240"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第87章</w:t>
            </w:r>
          </w:p>
        </w:tc>
        <w:tc>
          <w:tcPr>
            <w:tcW w:w="3180" w:type="dxa"/>
            <w:tcBorders>
              <w:top w:val="single" w:color="auto" w:sz="4" w:space="0"/>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8701－8703、8711－8712、8715、871610</w:t>
            </w:r>
          </w:p>
        </w:tc>
        <w:tc>
          <w:tcPr>
            <w:tcW w:w="4180" w:type="dxa"/>
            <w:tcBorders>
              <w:top w:val="single" w:color="auto" w:sz="4" w:space="0"/>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小轿车、摩托车、自行车、婴孩车、野营用厢式挂车等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25</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第88章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8801、88021100－88024020、8804</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气球、飞机、降落伞等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26</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第89章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8901、8903</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客船、快艇等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27</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第90章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90021131、90021139、90031、9004、90051、90064、900651、900653、90065990</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相机镜头、眼睛架、太阳镜、望远镜、照相机等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28</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第91章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9101－9103、9105－9106</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钟表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29</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第92章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9201－9208</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乐器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30</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第95章</w:t>
            </w:r>
          </w:p>
        </w:tc>
        <w:tc>
          <w:tcPr>
            <w:tcW w:w="318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整章</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玩具、游戏品、运动用品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31</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第96章</w:t>
            </w:r>
          </w:p>
        </w:tc>
        <w:tc>
          <w:tcPr>
            <w:tcW w:w="3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9608、9613－9616</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圆珠笔、钢笔、打火机、烟斗、梳子、粉扑等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32</w:t>
            </w:r>
          </w:p>
        </w:tc>
        <w:tc>
          <w:tcPr>
            <w:tcW w:w="124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第97章</w:t>
            </w:r>
          </w:p>
        </w:tc>
        <w:tc>
          <w:tcPr>
            <w:tcW w:w="318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整章</w:t>
            </w:r>
          </w:p>
        </w:tc>
        <w:tc>
          <w:tcPr>
            <w:tcW w:w="4180" w:type="dxa"/>
            <w:tcBorders>
              <w:top w:val="nil"/>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艺术品、收藏品及古物</w:t>
            </w:r>
          </w:p>
        </w:tc>
      </w:tr>
    </w:tbl>
    <w:p>
      <w:pPr>
        <w:widowControl/>
        <w:numPr>
          <w:numId w:val="0"/>
        </w:numPr>
        <w:spacing w:before="0" w:beforeAutospacing="1" w:after="0" w:afterAutospacing="1" w:line="420" w:lineRule="atLeast"/>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lang w:val="zh-CN"/>
      </w:rPr>
      <w:t xml:space="preserve"> </w:t>
    </w:r>
    <w:r>
      <w:rPr>
        <w:b/>
      </w:rPr>
      <w:fldChar w:fldCharType="begin"/>
    </w:r>
    <w:r>
      <w:rPr>
        <w:b/>
      </w:rPr>
      <w:instrText xml:space="preserve">PAGE  \* Arabic  \* MERGEFORMAT</w:instrText>
    </w:r>
    <w:r>
      <w:rPr>
        <w:b/>
      </w:rPr>
      <w:fldChar w:fldCharType="separate"/>
    </w:r>
    <w:r>
      <w:rPr>
        <w:b/>
        <w:lang w:val="zh-CN"/>
      </w:rPr>
      <w:t>1</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2</w:t>
    </w:r>
    <w:r>
      <w:rPr>
        <w:b/>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8557621">
    <w:nsid w:val="55260F35"/>
    <w:multiLevelType w:val="multilevel"/>
    <w:tmpl w:val="55260F35"/>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o"/>
      <w:lvlJc w:val="left"/>
      <w:pPr>
        <w:tabs>
          <w:tab w:val="left" w:pos="1440"/>
        </w:tabs>
        <w:ind w:left="1440" w:hanging="360"/>
      </w:pPr>
      <w:rPr>
        <w:rFonts w:ascii="Courier New" w:hAnsi="Courier New" w:cs="Courier New"/>
        <w:sz w:val="20"/>
      </w:rPr>
    </w:lvl>
    <w:lvl w:ilvl="2" w:tentative="1">
      <w:start w:val="1"/>
      <w:numFmt w:val="bullet"/>
      <w:lvlText w:val=""/>
      <w:lvlJc w:val="left"/>
      <w:pPr>
        <w:tabs>
          <w:tab w:val="left" w:pos="2160"/>
        </w:tabs>
        <w:ind w:left="2160" w:hanging="360"/>
      </w:pPr>
      <w:rPr>
        <w:rFonts w:ascii="Wingdings" w:hAnsi="Wingdings" w:cs="Wingdings"/>
        <w:sz w:val="20"/>
      </w:rPr>
    </w:lvl>
    <w:lvl w:ilvl="3" w:tentative="1">
      <w:start w:val="1"/>
      <w:numFmt w:val="bullet"/>
      <w:lvlText w:val=""/>
      <w:lvlJc w:val="left"/>
      <w:pPr>
        <w:tabs>
          <w:tab w:val="left" w:pos="2880"/>
        </w:tabs>
        <w:ind w:left="2880" w:hanging="360"/>
      </w:pPr>
      <w:rPr>
        <w:rFonts w:hint="default" w:ascii="Wingdings" w:hAnsi="Wingdings" w:cs="Wingdings"/>
        <w:sz w:val="20"/>
      </w:rPr>
    </w:lvl>
    <w:lvl w:ilvl="4" w:tentative="1">
      <w:start w:val="1"/>
      <w:numFmt w:val="bullet"/>
      <w:lvlText w:val=""/>
      <w:lvlJc w:val="left"/>
      <w:pPr>
        <w:tabs>
          <w:tab w:val="left" w:pos="3600"/>
        </w:tabs>
        <w:ind w:left="3600" w:hanging="360"/>
      </w:pPr>
      <w:rPr>
        <w:rFonts w:hint="default" w:ascii="Wingdings" w:hAnsi="Wingdings" w:cs="Wingdings"/>
        <w:sz w:val="20"/>
      </w:rPr>
    </w:lvl>
    <w:lvl w:ilvl="5" w:tentative="1">
      <w:start w:val="1"/>
      <w:numFmt w:val="bullet"/>
      <w:lvlText w:val=""/>
      <w:lvlJc w:val="left"/>
      <w:pPr>
        <w:tabs>
          <w:tab w:val="left" w:pos="4320"/>
        </w:tabs>
        <w:ind w:left="4320" w:hanging="360"/>
      </w:pPr>
      <w:rPr>
        <w:rFonts w:hint="default" w:ascii="Wingdings" w:hAnsi="Wingdings" w:cs="Wingdings"/>
        <w:sz w:val="20"/>
      </w:rPr>
    </w:lvl>
    <w:lvl w:ilvl="6" w:tentative="1">
      <w:start w:val="1"/>
      <w:numFmt w:val="bullet"/>
      <w:lvlText w:val=""/>
      <w:lvlJc w:val="left"/>
      <w:pPr>
        <w:tabs>
          <w:tab w:val="left" w:pos="5040"/>
        </w:tabs>
        <w:ind w:left="5040" w:hanging="360"/>
      </w:pPr>
      <w:rPr>
        <w:rFonts w:hint="default" w:ascii="Wingdings" w:hAnsi="Wingdings" w:cs="Wingdings"/>
        <w:sz w:val="20"/>
      </w:rPr>
    </w:lvl>
    <w:lvl w:ilvl="7" w:tentative="1">
      <w:start w:val="1"/>
      <w:numFmt w:val="bullet"/>
      <w:lvlText w:val=""/>
      <w:lvlJc w:val="left"/>
      <w:pPr>
        <w:tabs>
          <w:tab w:val="left" w:pos="5760"/>
        </w:tabs>
        <w:ind w:left="5760" w:hanging="360"/>
      </w:pPr>
      <w:rPr>
        <w:rFonts w:hint="default" w:ascii="Wingdings" w:hAnsi="Wingdings" w:cs="Wingdings"/>
        <w:sz w:val="20"/>
      </w:rPr>
    </w:lvl>
    <w:lvl w:ilvl="8" w:tentative="1">
      <w:start w:val="1"/>
      <w:numFmt w:val="bullet"/>
      <w:lvlText w:val=""/>
      <w:lvlJc w:val="left"/>
      <w:pPr>
        <w:tabs>
          <w:tab w:val="left" w:pos="6480"/>
        </w:tabs>
        <w:ind w:left="6480" w:hanging="360"/>
      </w:pPr>
      <w:rPr>
        <w:rFonts w:hint="default" w:ascii="Wingdings" w:hAnsi="Wingdings" w:cs="Wingdings"/>
        <w:sz w:val="20"/>
      </w:rPr>
    </w:lvl>
  </w:abstractNum>
  <w:num w:numId="1">
    <w:abstractNumId w:val="14285576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9543C"/>
    <w:rsid w:val="006B148C"/>
    <w:rsid w:val="0089543C"/>
    <w:rsid w:val="00B06FD7"/>
    <w:rsid w:val="0C653C07"/>
    <w:rsid w:val="29F05630"/>
    <w:rsid w:val="340D05F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character" w:styleId="7">
    <w:name w:val="FollowedHyperlink"/>
    <w:basedOn w:val="6"/>
    <w:unhideWhenUsed/>
    <w:uiPriority w:val="0"/>
    <w:rPr>
      <w:color w:val="333333"/>
      <w:sz w:val="18"/>
      <w:szCs w:val="18"/>
      <w:u w:val="none"/>
    </w:rPr>
  </w:style>
  <w:style w:type="character" w:styleId="8">
    <w:name w:val="Hyperlink"/>
    <w:basedOn w:val="6"/>
    <w:unhideWhenUsed/>
    <w:uiPriority w:val="0"/>
    <w:rPr>
      <w:color w:val="333333"/>
      <w:sz w:val="18"/>
      <w:szCs w:val="18"/>
      <w:u w:val="none"/>
    </w:r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300</Words>
  <Characters>1713</Characters>
  <Lines>14</Lines>
  <Paragraphs>4</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2014-08-28T08:34:00Z</dcterms:created>
  <dc:creator>xupx</dc:creator>
  <cp:lastModifiedBy>Administrator</cp:lastModifiedBy>
  <cp:lastPrinted>2014-08-29T10:33:00Z</cp:lastPrinted>
  <dcterms:modified xsi:type="dcterms:W3CDTF">2015-04-15T01:14:52Z</dcterms:modified>
  <dc:title>财政部　海关总署　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